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41.png" ContentType="image/png"/>
  <Override PartName="/word/media/rId36.png" ContentType="image/png"/>
  <Override PartName="/word/media/rId37.png" ContentType="image/png"/>
  <Override PartName="/word/media/rId35.png" ContentType="image/png"/>
  <Override PartName="/word/media/rId40.png" ContentType="image/png"/>
  <Override PartName="/word/media/rId43.png" ContentType="image/png"/>
  <Override PartName="/word/media/rId39.png" ContentType="image/png"/>
  <Override PartName="/word/media/rId3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Heading1"/>
      </w:pPr>
      <w:bookmarkStart w:id="30" w:name="supplement"/>
      <w:r>
        <w:t xml:space="preserve">Supplement</w:t>
      </w:r>
      <w:bookmarkEnd w:id="30"/>
    </w:p>
    <w:p>
      <w:pPr>
        <w:pStyle w:val="Heading1"/>
      </w:pPr>
      <w:bookmarkStart w:id="31" w:name="X58b2c5e5afb581fa03fb14296175705d714ed91"/>
      <w:r>
        <w:t xml:space="preserve">Case study: Application of the landscape model to the San Gabriel River watershed</w:t>
      </w:r>
      <w:bookmarkEnd w:id="31"/>
    </w:p>
    <w:p>
      <w:pPr>
        <w:pStyle w:val="FirstParagraph"/>
      </w:pPr>
      <w:r>
        <w:t xml:space="preserve">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 S</w:t>
      </w:r>
      <w:r>
        <w:t xml:space="preserve">4</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Groundwater recharge areas are present in the middle of the watershed where water is allowed to spread beyond the main channel for subsurface infiltration during high flow events.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Application of the landscape model results to the CSCI scores provided biological expectations consistent with the strong land use gradient in the watershed (Figure S</w:t>
      </w:r>
      <w:r>
        <w:t xml:space="preserve">5</w:t>
      </w:r>
      <w:r>
        <w:t xml:space="preserve">). Stream segments in the upper watershed were a mix of likely and possibly unconstrained (40% and 28%), whereas stream segments in the lower watershed were classified as likely and possibly constrained (25% and 7%). Several segments in the lower watershed had predicted median CSCI scores that were very close to the 10th percentile (i.e., right-skewed quantiles) consistent with extreme landscape pressures (bottom left, Figure S</w:t>
      </w:r>
      <w:r>
        <w:t xml:space="preserve">5</w:t>
      </w:r>
      <w:r>
        <w:t xml:space="preserve">b).</w:t>
      </w:r>
    </w:p>
    <w:p>
      <w:pPr>
        <w:pStyle w:val="BodyText"/>
      </w:pPr>
      <w:r>
        <w:t xml:space="preserve">The stakeholder group identified management priorities based on observed CSCI scores and results from the landscape model. A template that showed how observed CSCI scores may compare (i.e., under-scoring, expected, over-scoring, or above/below biological objective) to segment classifications (i.e., constrained, unconstrained) was provided to the stakeholder to assign priorities among the various outcomes (rows 1-16, Figure S</w:t>
      </w:r>
      <w:r>
        <w:t xml:space="preserve">6</w:t>
      </w:r>
      <w:r>
        <w:t xml:space="preserve">, left side) that could occur with actual data. The three priorities (Table S</w:t>
      </w:r>
      <w:r>
        <w:t xml:space="preserve">1</w:t>
      </w:r>
      <w:r>
        <w:t xml:space="preserve">) were then assigned a low, medium, or high importance for the scoring possibilities that could occur from the landscape model (Figure S2, right side). For sites without priority assignments, it was assumed that baseline monitoring and maintenance that is currently provided by existing management programs was sufficient for sustaining current biological condition. The final assignments were then mapped to each monitoring site in the watershed. Table S</w:t>
      </w:r>
      <w:r>
        <w:t xml:space="preserve">1</w:t>
      </w:r>
      <w:r>
        <w:t xml:space="preserve"> </w:t>
      </w:r>
      <w:r>
        <w:t xml:space="preserve">shows examples of the priority recommendations and sites for which they applied.</w:t>
      </w:r>
    </w:p>
    <w:p>
      <w:pPr>
        <w:pStyle w:val="BodyText"/>
      </w:pPr>
      <w:r>
        <w:t xml:space="preserve">The SCAPE application allowed stakeholders to provide input on the two key decision points for classifying stream segments (i.e., choice of a threshold and range of predictions),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propagated to changes in recommended priorities for each site.</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 S</w:t>
      </w:r>
      <w:r>
        <w:t xml:space="preserve">8</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32" w:name="tecolote-creek-example"/>
      <w:r>
        <w:t xml:space="preserve">Tecolote Creek example</w:t>
      </w:r>
      <w:bookmarkEnd w:id="32"/>
    </w:p>
    <w:p>
      <w:pPr>
        <w:pStyle w:val="FirstParagraph"/>
      </w:pPr>
      <w:r>
        <w:t xml:space="preserve">For example, Tecolote Creek (San Diego County, USA) was identified by our model as a constrained channel in an urban landscape (Figure S</w:t>
      </w:r>
      <w:r>
        <w:t xml:space="preserve">9</w:t>
      </w:r>
      <w:r>
        <w:t xml:space="preserve">). The CSCI score is 0.61 indicating degraded biological integrity, but the channel is not modified. Other stressors originating at the landscape scale (e.g., water or sediment chemistry) have likely constrained the biological community at this site independent of the physical habitat quality.</w:t>
      </w:r>
    </w:p>
    <w:p>
      <w:pPr>
        <w:pStyle w:val="Heading1"/>
      </w:pPr>
      <w:bookmarkStart w:id="33" w:name="supplemental-tables"/>
      <w:r>
        <w:t xml:space="preserve">Supplemental tables</w:t>
      </w:r>
      <w:bookmarkEnd w:id="33"/>
    </w:p>
    <w:p>
      <w:pPr>
        <w:pStyle w:val="TableCaption"/>
      </w:pPr>
      <w:r>
        <w:t xml:space="preserve">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w:t>
      </w:r>
    </w:p>
    <w:tbl>
      <w:tblPr>
        <w:tblStyle w:val="Table"/>
        <w:tblW w:type="pct" w:w="0.0"/>
        <w:tblLook w:firstRow="1"/>
        <w:tblCaption w:val="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the range of predictions</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Heading1"/>
      </w:pPr>
      <w:bookmarkStart w:id="34" w:name="supplemental-figures"/>
      <w:r>
        <w:t xml:space="preserve">Supplemental figures</w:t>
      </w:r>
      <w:bookmarkEnd w:id="34"/>
    </w:p>
    <w:p>
      <w:pPr>
        <w:pStyle w:val="CaptionedFigure"/>
      </w:pPr>
      <w:r>
        <w:drawing>
          <wp:inline>
            <wp:extent cx="5943600" cy="2971800"/>
            <wp:effectExtent b="0" l="0" r="0" t="0"/>
            <wp:docPr descr="Figure 1 Relationship of predictor variables (watershed only, see Table 1) with stream classes. The top plot (a) shows boxplot distributions (median, interquartile ranges, and outliers) and the bottom plot (b) shows the relationship with CSCI scores. All x-axes are in log-scale." title="" id="1" name="Picture"/>
            <a:graphic>
              <a:graphicData uri="http://schemas.openxmlformats.org/drawingml/2006/picture">
                <pic:pic>
                  <pic:nvPicPr>
                    <pic:cNvPr descr="figs/prddst.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Relationship of predictor variables (watershed only, see Table 1) with stream classes. The top plot (a) shows boxplot distributions (median, interquartile ranges, and outliers) and the bottom plot (b) shows the relationship with CSCI scores. All x-axes are in log-scale.</w:t>
      </w:r>
    </w:p>
    <w:p>
      <w:pPr>
        <w:pStyle w:val="CaptionedFigure"/>
      </w:pPr>
      <w:r>
        <w:drawing>
          <wp:inline>
            <wp:extent cx="5943600" cy="7315200"/>
            <wp:effectExtent b="0" l="0" r="0" t="0"/>
            <wp:docPr descr="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 title="" id="1" name="Picture"/>
            <a:graphic>
              <a:graphicData uri="http://schemas.openxmlformats.org/drawingml/2006/picture">
                <pic:pic>
                  <pic:nvPicPr>
                    <pic:cNvPr descr="figs/perffig.png" id="0" name="Picture"/>
                    <pic:cNvPicPr>
                      <a:picLocks noChangeArrowheads="1" noChangeAspect="1"/>
                    </pic:cNvPicPr>
                  </pic:nvPicPr>
                  <pic:blipFill>
                    <a:blip r:embed="rId36"/>
                    <a:stretch>
                      <a:fillRect/>
                    </a:stretch>
                  </pic:blipFill>
                  <pic:spPr bwMode="auto">
                    <a:xfrm>
                      <a:off x="0" y="0"/>
                      <a:ext cx="5943600" cy="7315200"/>
                    </a:xfrm>
                    <a:prstGeom prst="rect">
                      <a:avLst/>
                    </a:prstGeom>
                    <a:noFill/>
                    <a:ln w="9525">
                      <a:noFill/>
                      <a:headEnd/>
                      <a:tailEnd/>
                    </a:ln>
                  </pic:spPr>
                </pic:pic>
              </a:graphicData>
            </a:graphic>
          </wp:inline>
        </w:drawing>
      </w:r>
    </w:p>
    <w:p>
      <w:pPr>
        <w:pStyle w:val="ImageCaption"/>
      </w:pPr>
      <w:r>
        <w:t xml:space="preserve">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w:t>
      </w:r>
    </w:p>
    <w:p>
      <w:pPr>
        <w:pStyle w:val="CaptionedFigure"/>
      </w:pPr>
      <w:r>
        <w:drawing>
          <wp:inline>
            <wp:extent cx="5504749" cy="5504749"/>
            <wp:effectExtent b="0" l="0" r="0" t="0"/>
            <wp:docPr descr="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3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w:t>
      </w:r>
    </w:p>
    <w:p>
      <w:pPr>
        <w:pStyle w:val="CaptionedFigure"/>
      </w:pPr>
      <w:r>
        <w:drawing>
          <wp:inline>
            <wp:extent cx="5504749" cy="7339665"/>
            <wp:effectExtent b="0" l="0" r="0" t="0"/>
            <wp:docPr descr="Figure 4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4 San Gabriel River watershed in southern California. Land cover is shown in plot (a) and the predicted median CSCI scores at each stream segment and observed CSCI scores are shown in (b).</w:t>
      </w:r>
    </w:p>
    <w:p>
      <w:pPr>
        <w:pStyle w:val="CaptionedFigure"/>
      </w:pPr>
      <w:r>
        <w:drawing>
          <wp:inline>
            <wp:extent cx="5943600" cy="4622800"/>
            <wp:effectExtent b="0" l="0" r="0" t="0"/>
            <wp:docPr descr="Figure 5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3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5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4033157"/>
            <wp:effectExtent b="0" l="0" r="0" t="0"/>
            <wp:docPr descr="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4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6523867"/>
            <wp:effectExtent b="0" l="0" r="0" t="0"/>
            <wp:docPr descr="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 http://shiny.sccwrp.org/scape/." title="" id="1" name="Picture"/>
            <a:graphic>
              <a:graphicData uri="http://schemas.openxmlformats.org/drawingml/2006/picture">
                <pic:pic>
                  <pic:nvPicPr>
                    <pic:cNvPr descr="figs/app.png" id="0" name="Picture"/>
                    <pic:cNvPicPr>
                      <a:picLocks noChangeArrowheads="1" noChangeAspect="1"/>
                    </pic:cNvPicPr>
                  </pic:nvPicPr>
                  <pic:blipFill>
                    <a:blip r:embed="rId41"/>
                    <a:stretch>
                      <a:fillRect/>
                    </a:stretch>
                  </pic:blipFill>
                  <pic:spPr bwMode="auto">
                    <a:xfrm>
                      <a:off x="0" y="0"/>
                      <a:ext cx="5943600" cy="6523867"/>
                    </a:xfrm>
                    <a:prstGeom prst="rect">
                      <a:avLst/>
                    </a:prstGeom>
                    <a:noFill/>
                    <a:ln w="9525">
                      <a:noFill/>
                      <a:headEnd/>
                      <a:tailEnd/>
                    </a:ln>
                  </pic:spPr>
                </pic:pic>
              </a:graphicData>
            </a:graphic>
          </wp:inline>
        </w:drawing>
      </w:r>
    </w:p>
    <w:p>
      <w:pPr>
        <w:pStyle w:val="ImageCaption"/>
      </w:pPr>
      <w:r>
        <w:t xml:space="preserve">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w:t>
      </w:r>
      <w:r>
        <w:t xml:space="preserve"> </w:t>
      </w:r>
      <w:hyperlink r:id="rId42">
        <w:r>
          <w:rPr>
            <w:rStyle w:val="Hyperlink"/>
          </w:rPr>
          <w:t xml:space="preserve">http://shiny.sccwrp.org/scape/</w:t>
        </w:r>
      </w:hyperlink>
      <w:r>
        <w:t xml:space="preserve">.</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43"/>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44"/>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45" w:name="references"/>
      <w:r>
        <w:t xml:space="preserve">References</w:t>
      </w:r>
      <w:bookmarkEnd w:id="45"/>
    </w:p>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jp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hyperlink" Id="rId42" Target="http://shiny.sccwrp.org/scape/"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2" Target="http://shiny.sccwrp.org/scape/"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2019-05-16T01:33:37Z</dcterms:created>
  <dcterms:modified xsi:type="dcterms:W3CDTF">2019-05-16T01:33:37Z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